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FE3D4" w14:textId="634E0EC6" w:rsidR="00144254" w:rsidRDefault="00F72BB6" w:rsidP="00144254">
      <w:pPr>
        <w:rPr>
          <w:b/>
          <w:bCs/>
          <w:highlight w:val="yellow"/>
        </w:rPr>
      </w:pPr>
      <w:r>
        <w:rPr>
          <w:b/>
          <w:bCs/>
          <w:highlight w:val="yellow"/>
        </w:rPr>
        <w:t>1- AUTOCONTACT TRAICING</w:t>
      </w:r>
    </w:p>
    <w:p w14:paraId="0EF62C45" w14:textId="6421DC6D" w:rsidR="00144254" w:rsidRPr="00144254" w:rsidRDefault="00144254" w:rsidP="00144254">
      <w:r w:rsidRPr="00144254">
        <w:t xml:space="preserve">In considerazione delle </w:t>
      </w:r>
      <w:r>
        <w:t xml:space="preserve">difficoltà degli organi preposti </w:t>
      </w:r>
      <w:r w:rsidR="00F72BB6">
        <w:t xml:space="preserve">della Asur </w:t>
      </w:r>
      <w:r>
        <w:t xml:space="preserve">ad effettuare un tempestivo Contact Tracing si </w:t>
      </w:r>
      <w:r w:rsidR="00870D05">
        <w:t>adottano in azienda le seguenti procedure di prevenzione:</w:t>
      </w:r>
      <w:r>
        <w:t xml:space="preserve"> </w:t>
      </w:r>
    </w:p>
    <w:p w14:paraId="2EBB3FF0" w14:textId="77777777" w:rsidR="00144254" w:rsidRDefault="00144254" w:rsidP="00144254">
      <w:pPr>
        <w:rPr>
          <w:b/>
          <w:bCs/>
          <w:highlight w:val="yellow"/>
        </w:rPr>
      </w:pPr>
    </w:p>
    <w:p w14:paraId="3A239FAD" w14:textId="77777777" w:rsidR="00144254" w:rsidRDefault="00144254" w:rsidP="00144254"/>
    <w:p w14:paraId="03B181D3" w14:textId="6E64ACA2" w:rsidR="00144254" w:rsidRDefault="00144254" w:rsidP="00144254">
      <w:pPr>
        <w:rPr>
          <w:b/>
          <w:bCs/>
        </w:rPr>
      </w:pPr>
      <w:r>
        <w:t xml:space="preserve">In caso di </w:t>
      </w:r>
      <w:r w:rsidR="008D01BE">
        <w:t xml:space="preserve">accertato </w:t>
      </w:r>
      <w:r>
        <w:t xml:space="preserve">contagio, la ASUR si farà carico di contattare </w:t>
      </w:r>
      <w:r w:rsidR="008D01BE">
        <w:t xml:space="preserve">l’interessato </w:t>
      </w:r>
      <w:r>
        <w:t xml:space="preserve"> e l</w:t>
      </w:r>
      <w:r w:rsidR="00F72BB6">
        <w:t>a scuola</w:t>
      </w:r>
      <w:r>
        <w:t xml:space="preserve"> per tracciare i </w:t>
      </w:r>
      <w:r>
        <w:rPr>
          <w:b/>
          <w:bCs/>
        </w:rPr>
        <w:t>“contatti stretti”</w:t>
      </w:r>
    </w:p>
    <w:p w14:paraId="4BCE2430" w14:textId="23E0FAE0" w:rsidR="00144254" w:rsidRDefault="00870D05" w:rsidP="00144254">
      <w:r>
        <w:t xml:space="preserve">Nel caso ciò avvenga non immediatamente, l’azienda farà riferimento alle circolari del </w:t>
      </w:r>
      <w:r w:rsidR="00144254">
        <w:t xml:space="preserve">Ministero della Salute </w:t>
      </w:r>
      <w:r w:rsidRPr="00870D05">
        <w:t>n</w:t>
      </w:r>
      <w:r w:rsidR="008E1613">
        <w:t>°</w:t>
      </w:r>
      <w:r w:rsidRPr="00870D05">
        <w:t xml:space="preserve"> 18584 del 29</w:t>
      </w:r>
      <w:r w:rsidR="008E1613">
        <w:t>/05/2020</w:t>
      </w:r>
      <w:r>
        <w:t xml:space="preserve">  e </w:t>
      </w:r>
      <w:r w:rsidR="008E1613">
        <w:t xml:space="preserve">n° </w:t>
      </w:r>
      <w:r w:rsidRPr="00870D05">
        <w:t>0032850</w:t>
      </w:r>
      <w:r w:rsidR="008E1613">
        <w:t xml:space="preserve"> del 12/10/2020</w:t>
      </w:r>
      <w:r>
        <w:t xml:space="preserve">, </w:t>
      </w:r>
      <w:r w:rsidR="008E1613">
        <w:t>agendo come di seguito riportato e secondo la definizione di contatto stretto</w:t>
      </w:r>
      <w:r w:rsidR="00144254">
        <w:t>:</w:t>
      </w:r>
    </w:p>
    <w:p w14:paraId="3E4F298B" w14:textId="77777777" w:rsidR="00144254" w:rsidRDefault="00144254" w:rsidP="00144254"/>
    <w:p w14:paraId="7DF986BE" w14:textId="3141639C" w:rsidR="00144254" w:rsidRDefault="00144254" w:rsidP="00144254">
      <w:pPr>
        <w:rPr>
          <w:b/>
          <w:bCs/>
        </w:rPr>
      </w:pPr>
      <w:r>
        <w:rPr>
          <w:b/>
          <w:bCs/>
          <w:highlight w:val="yellow"/>
        </w:rPr>
        <w:t>CONTATTO STRETTO</w:t>
      </w:r>
    </w:p>
    <w:p w14:paraId="34972825" w14:textId="25EBF06E" w:rsidR="009F0686" w:rsidRDefault="009F0686" w:rsidP="00144254">
      <w:pPr>
        <w:rPr>
          <w:b/>
          <w:bCs/>
        </w:rPr>
      </w:pPr>
    </w:p>
    <w:p w14:paraId="68B331A3" w14:textId="77777777" w:rsidR="00144254" w:rsidRDefault="00144254" w:rsidP="008E1613">
      <w:pPr>
        <w:pStyle w:val="Paragrafoelenco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una persona che vive nella stessa casa di un caso COVID-19;</w:t>
      </w:r>
    </w:p>
    <w:p w14:paraId="3D843BEB" w14:textId="77777777" w:rsidR="00144254" w:rsidRDefault="00144254" w:rsidP="008E1613">
      <w:pPr>
        <w:pStyle w:val="Paragrafoelenco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una persona che ha avuto un contatto fisico diretto con un caso COVID-19 (per esempio la stretta di mano);</w:t>
      </w:r>
    </w:p>
    <w:p w14:paraId="14FB69F6" w14:textId="77777777" w:rsidR="00144254" w:rsidRDefault="00144254" w:rsidP="008E1613">
      <w:pPr>
        <w:pStyle w:val="Paragrafoelenco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una persona che ha avuto un contatto diretto non protetto con le secrezioni di un caso COVID19 (ad esempio toccare a mani nude fazzoletti di carta usati);</w:t>
      </w:r>
    </w:p>
    <w:p w14:paraId="0C1CAFB4" w14:textId="77777777" w:rsidR="00144254" w:rsidRDefault="00144254" w:rsidP="008E1613">
      <w:pPr>
        <w:pStyle w:val="Paragrafoelenco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una persona che ha avuto un contatto diretto (faccia a faccia) con un caso COVID-19, a distanza minore di 2 metri e di almeno 15 minuti;</w:t>
      </w:r>
    </w:p>
    <w:p w14:paraId="438D3BBF" w14:textId="77777777" w:rsidR="00144254" w:rsidRDefault="00144254" w:rsidP="008E1613">
      <w:pPr>
        <w:pStyle w:val="Paragrafoelenco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una persona che si è trovata in un ambiente chiuso (ad esempio aula, sala riunioni, sala d'attesa dell'ospedale) con un caso COVID-19 in assenza di DPI idonei; </w:t>
      </w:r>
    </w:p>
    <w:p w14:paraId="1C39E070" w14:textId="77777777" w:rsidR="00144254" w:rsidRDefault="00144254" w:rsidP="008E1613">
      <w:pPr>
        <w:pStyle w:val="Paragrafoelenco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un operatore sanitario o altra persona che fornisce assistenza diretta ad un caso COVID-19 oppure personale di laboratorio addetto alla manipolazione di campioni di un caso COVID-19 senza l’impiego dei DPI raccomandati o mediante l’utilizzo di DPI non idonei;</w:t>
      </w:r>
    </w:p>
    <w:p w14:paraId="7363D830" w14:textId="77777777" w:rsidR="00144254" w:rsidRDefault="00144254" w:rsidP="008E1613">
      <w:pPr>
        <w:pStyle w:val="Paragrafoelenco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una persona che ha viaggiato seduta in treno, aereo o qualsiasi altro mezzo di trasporto entro due posti in qualsiasi direzione rispetto a un caso COVID-19; sono contatti stretti anche i compagni di viaggio e il personale addetto alla sezione dell’aereo/treno dove il caso indice era seduto.</w:t>
      </w:r>
    </w:p>
    <w:p w14:paraId="5869AFC8" w14:textId="09363E9B" w:rsidR="00144254" w:rsidRDefault="009F0686" w:rsidP="00144254">
      <w:r>
        <w:t>Gli operatori sanitari, sulla base di valutazioni individuali del rischio, possono ritenere che alcune persone, a prescindere dalla durata e dal </w:t>
      </w:r>
      <w:r>
        <w:rPr>
          <w:rStyle w:val="Enfasicorsivo"/>
        </w:rPr>
        <w:t>setting</w:t>
      </w:r>
      <w:r>
        <w:t> in cui è avvenuto il contatto, abbiano avuto un'esposizione ad alto rischio</w:t>
      </w:r>
    </w:p>
    <w:p w14:paraId="010C73A3" w14:textId="77777777" w:rsidR="009F0686" w:rsidRDefault="009F0686" w:rsidP="00144254"/>
    <w:p w14:paraId="69897FB8" w14:textId="18F63A81" w:rsidR="00144254" w:rsidRDefault="008E1613" w:rsidP="00144254">
      <w:pPr>
        <w:rPr>
          <w:b/>
          <w:bCs/>
        </w:rPr>
      </w:pPr>
      <w:r>
        <w:t>In considerazione dei parametri definiti dal punto 1 al punto 7 l</w:t>
      </w:r>
      <w:r w:rsidR="009F0686">
        <w:t>a scuola</w:t>
      </w:r>
      <w:r>
        <w:t xml:space="preserve"> procederà:</w:t>
      </w:r>
    </w:p>
    <w:p w14:paraId="5AF59D8B" w14:textId="77777777" w:rsidR="00144254" w:rsidRDefault="00144254" w:rsidP="00144254">
      <w:pPr>
        <w:rPr>
          <w:b/>
          <w:bCs/>
        </w:rPr>
      </w:pPr>
    </w:p>
    <w:p w14:paraId="1BA9C653" w14:textId="483A2338" w:rsidR="00144254" w:rsidRDefault="008E1613" w:rsidP="00144254">
      <w:pPr>
        <w:pStyle w:val="Paragrafoelenco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individuando</w:t>
      </w:r>
      <w:r w:rsidR="00144254">
        <w:rPr>
          <w:rFonts w:eastAsia="Times New Roman"/>
        </w:rPr>
        <w:t>, con criterio di prudenza, tutte le persone che possono essere state a contatto, nelle ultime 48 ore, con il soggetto risultato positivo</w:t>
      </w:r>
    </w:p>
    <w:p w14:paraId="5B2A160C" w14:textId="43C3C26C" w:rsidR="00144254" w:rsidRDefault="008E1613" w:rsidP="00144254">
      <w:pPr>
        <w:pStyle w:val="Paragrafoelenco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elaborando</w:t>
      </w:r>
      <w:r w:rsidR="00144254">
        <w:rPr>
          <w:rFonts w:eastAsia="Times New Roman"/>
        </w:rPr>
        <w:t xml:space="preserve"> un elenco di nominativi con contatti telefonici ed e-mail ( se possibile) e </w:t>
      </w:r>
      <w:r>
        <w:rPr>
          <w:rFonts w:eastAsia="Times New Roman"/>
        </w:rPr>
        <w:t>comunicandolo</w:t>
      </w:r>
      <w:r w:rsidR="00144254">
        <w:rPr>
          <w:rFonts w:eastAsia="Times New Roman"/>
        </w:rPr>
        <w:t xml:space="preserve"> </w:t>
      </w:r>
      <w:r>
        <w:rPr>
          <w:rFonts w:eastAsia="Times New Roman"/>
        </w:rPr>
        <w:t>formalmente</w:t>
      </w:r>
      <w:r w:rsidR="00144254">
        <w:rPr>
          <w:rFonts w:eastAsia="Times New Roman"/>
        </w:rPr>
        <w:t xml:space="preserve"> alla ASUR di Competenza ( gli indirizzi  o numeri telefonici sono reperibili </w:t>
      </w:r>
      <w:r>
        <w:rPr>
          <w:rFonts w:eastAsia="Times New Roman"/>
        </w:rPr>
        <w:t>presso i siti delle regioni. Per la Regione</w:t>
      </w:r>
      <w:r w:rsidR="00144254">
        <w:rPr>
          <w:rFonts w:eastAsia="Times New Roman"/>
        </w:rPr>
        <w:t xml:space="preserve"> Marche </w:t>
      </w:r>
      <w:hyperlink r:id="rId7" w:history="1">
        <w:r w:rsidR="00144254">
          <w:rPr>
            <w:rStyle w:val="Collegamentoipertestuale"/>
            <w:rFonts w:eastAsia="Times New Roman"/>
          </w:rPr>
          <w:t>https://www.vaccinarsinellemarche.org/info-utili/ambulatori-vaccinali</w:t>
        </w:r>
      </w:hyperlink>
      <w:r w:rsidR="00144254">
        <w:rPr>
          <w:rFonts w:eastAsia="Times New Roman"/>
        </w:rPr>
        <w:t>)</w:t>
      </w:r>
      <w:r>
        <w:rPr>
          <w:rFonts w:eastAsia="Times New Roman"/>
        </w:rPr>
        <w:t xml:space="preserve">. </w:t>
      </w:r>
    </w:p>
    <w:p w14:paraId="789CB787" w14:textId="582635E8" w:rsidR="00144254" w:rsidRDefault="00144254" w:rsidP="00144254">
      <w:pPr>
        <w:pStyle w:val="Paragrafoelenco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allontana</w:t>
      </w:r>
      <w:r w:rsidR="008E1613">
        <w:rPr>
          <w:rFonts w:eastAsia="Times New Roman"/>
        </w:rPr>
        <w:t>ndo</w:t>
      </w:r>
      <w:r>
        <w:rPr>
          <w:rFonts w:eastAsia="Times New Roman"/>
        </w:rPr>
        <w:t xml:space="preserve"> dal lavoro le persone che possono essere </w:t>
      </w:r>
      <w:r w:rsidR="008E1613">
        <w:rPr>
          <w:rFonts w:eastAsia="Times New Roman"/>
        </w:rPr>
        <w:t xml:space="preserve">riconducibili a </w:t>
      </w:r>
      <w:r>
        <w:rPr>
          <w:rFonts w:eastAsia="Times New Roman"/>
        </w:rPr>
        <w:t xml:space="preserve">“Contatti Stretti” </w:t>
      </w:r>
      <w:r w:rsidR="008E1613">
        <w:rPr>
          <w:rFonts w:eastAsia="Times New Roman"/>
        </w:rPr>
        <w:t>invitandole</w:t>
      </w:r>
      <w:r>
        <w:rPr>
          <w:rFonts w:eastAsia="Times New Roman"/>
        </w:rPr>
        <w:t xml:space="preserve"> ad effettuare un </w:t>
      </w:r>
      <w:r>
        <w:rPr>
          <w:rFonts w:eastAsia="Times New Roman"/>
          <w:b/>
          <w:bCs/>
        </w:rPr>
        <w:t>isolamento volontario</w:t>
      </w:r>
      <w:r>
        <w:rPr>
          <w:rFonts w:eastAsia="Times New Roman"/>
        </w:rPr>
        <w:t xml:space="preserve"> in attesa di essere ricontattati dalla ASUR di competenza per </w:t>
      </w:r>
      <w:r>
        <w:rPr>
          <w:rFonts w:eastAsia="Times New Roman"/>
          <w:b/>
          <w:bCs/>
        </w:rPr>
        <w:t xml:space="preserve">l’isolamento obbligatorio </w:t>
      </w:r>
    </w:p>
    <w:p w14:paraId="2F39A8D6" w14:textId="5E1FF790" w:rsidR="00144254" w:rsidRDefault="008E1613" w:rsidP="00144254">
      <w:pPr>
        <w:pStyle w:val="Paragrafoelenco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prevendendo</w:t>
      </w:r>
      <w:r w:rsidR="00144254">
        <w:rPr>
          <w:rFonts w:eastAsia="Times New Roman"/>
        </w:rPr>
        <w:t xml:space="preserve"> per queste persone, con il loro consenso, un tampone molecolare presso i laboratori disponibili nel territorio, al fine di effettuare una diagnosi precoce di contagio ( </w:t>
      </w:r>
      <w:r>
        <w:rPr>
          <w:rFonts w:eastAsia="Times New Roman"/>
        </w:rPr>
        <w:t xml:space="preserve">si attenderanno </w:t>
      </w:r>
      <w:r w:rsidR="00144254">
        <w:rPr>
          <w:rFonts w:eastAsia="Times New Roman"/>
          <w:u w:val="single"/>
        </w:rPr>
        <w:t xml:space="preserve"> almeno 72 ore dal contatto con la persona risultata positiva, prima di effettuare il  tampone, se non si è stati prima contattati dalla ASUR che disporrà il tampone con propria organizzazione</w:t>
      </w:r>
      <w:r w:rsidR="00144254">
        <w:rPr>
          <w:rFonts w:eastAsia="Times New Roman"/>
        </w:rPr>
        <w:t>)</w:t>
      </w:r>
    </w:p>
    <w:p w14:paraId="45D09251" w14:textId="77777777" w:rsidR="008E1613" w:rsidRDefault="008E1613" w:rsidP="00144254">
      <w:pPr>
        <w:pStyle w:val="Paragrafoelenco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invitando</w:t>
      </w:r>
      <w:r w:rsidR="00144254">
        <w:rPr>
          <w:rFonts w:eastAsia="Times New Roman"/>
        </w:rPr>
        <w:t xml:space="preserve"> i contatti stretti a mantenersi quanto più isolati possibile dai propri familiari, ad attivarsi con il proprio medico di base per la richiesta di certificato di malattia per contatto stretto ( sarà poi </w:t>
      </w:r>
      <w:r w:rsidR="00144254">
        <w:rPr>
          <w:rFonts w:eastAsia="Times New Roman"/>
        </w:rPr>
        <w:lastRenderedPageBreak/>
        <w:t>il medico a contattare la ASUR attraverso i canali dedicati) a contattare le ASUR di competenza per il tracciamento</w:t>
      </w:r>
      <w:r>
        <w:rPr>
          <w:rFonts w:eastAsia="Times New Roman"/>
        </w:rPr>
        <w:t xml:space="preserve"> </w:t>
      </w:r>
    </w:p>
    <w:p w14:paraId="520ED7B5" w14:textId="24CBB125" w:rsidR="00144254" w:rsidRPr="008E1613" w:rsidRDefault="008E1613" w:rsidP="00144254">
      <w:pPr>
        <w:pStyle w:val="Paragrafoelenco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b/>
          <w:bCs/>
        </w:rPr>
        <w:t>fornendo ai lavoratori le documentazioni relative alle</w:t>
      </w:r>
      <w:r w:rsidR="00144254">
        <w:rPr>
          <w:rFonts w:eastAsia="Times New Roman"/>
          <w:b/>
          <w:bCs/>
        </w:rPr>
        <w:t xml:space="preserve"> raccomandazioni quarantena Covid e norme per isolamento </w:t>
      </w:r>
      <w:r>
        <w:rPr>
          <w:rFonts w:eastAsia="Times New Roman"/>
          <w:b/>
          <w:bCs/>
        </w:rPr>
        <w:t xml:space="preserve"> definite dalla ASUR e dalla protezione civile</w:t>
      </w:r>
    </w:p>
    <w:p w14:paraId="35578CD1" w14:textId="4222C077" w:rsidR="008E1613" w:rsidRDefault="008E1613" w:rsidP="008E1613">
      <w:pPr>
        <w:rPr>
          <w:rFonts w:eastAsia="Times New Roman"/>
        </w:rPr>
      </w:pPr>
    </w:p>
    <w:p w14:paraId="5DBF8EE7" w14:textId="18DA2CEE" w:rsidR="008E1613" w:rsidRDefault="008E1613" w:rsidP="008E1613">
      <w:pPr>
        <w:rPr>
          <w:rFonts w:eastAsia="Times New Roman"/>
        </w:rPr>
      </w:pPr>
    </w:p>
    <w:p w14:paraId="45015F44" w14:textId="35141C0A" w:rsidR="008A7D61" w:rsidRDefault="00F72BB6" w:rsidP="008A7D6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highlight w:val="yellow"/>
        </w:rPr>
        <w:t>2-</w:t>
      </w:r>
      <w:r w:rsidR="008A7D61" w:rsidRPr="00775FA8">
        <w:rPr>
          <w:b/>
          <w:bCs/>
          <w:sz w:val="20"/>
          <w:szCs w:val="20"/>
          <w:highlight w:val="yellow"/>
        </w:rPr>
        <w:t>REGOLE PER REINTEGRO POST MALATTIA COVID -19</w:t>
      </w:r>
    </w:p>
    <w:p w14:paraId="68D0EF19" w14:textId="5F847E94" w:rsidR="008A7D61" w:rsidRDefault="008A7D61" w:rsidP="008A7D61">
      <w:pPr>
        <w:rPr>
          <w:b/>
          <w:bCs/>
        </w:rPr>
      </w:pPr>
      <w:r>
        <w:rPr>
          <w:b/>
          <w:bCs/>
          <w:sz w:val="20"/>
          <w:szCs w:val="20"/>
        </w:rPr>
        <w:t xml:space="preserve">Riferimenti normativi: CIRCOLARE MINISTERO DELLA SALUTE: 0014915-29/04/2020-DGPRE- </w:t>
      </w:r>
    </w:p>
    <w:p w14:paraId="32717237" w14:textId="77777777" w:rsidR="008A7D61" w:rsidRDefault="008A7D61" w:rsidP="008A7D61"/>
    <w:p w14:paraId="4537838B" w14:textId="77777777" w:rsidR="008A7D61" w:rsidRPr="00C90A77" w:rsidRDefault="008A7D61" w:rsidP="008A7D61">
      <w:pPr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In merito al reintegro progressivo di lavoratori dopo l’infezione da COVID-19, la letteratura scientifica evidenzia che coloro che si sono ammalati e che hanno manifestato una polmonite o un’infezione respiratoria acuta grave, potrebbero presentare una ridotta capacità polmonare a seguito della malattia (anche fino al 20-30% della funzione polmonare) con possibile necessità di sottoporsi a cicli di fisioterapia respiratoria. Situazione ancora più complessa è quella dei soggetti che sono stati ricoverati in terapia intensiva, in quanto possono continuare ad accusare disturbi rilevanti descritti in letteratura, </w:t>
      </w:r>
      <w:r w:rsidRPr="00C90A77">
        <w:rPr>
          <w:sz w:val="23"/>
          <w:szCs w:val="23"/>
        </w:rPr>
        <w:t xml:space="preserve">la cui presenza necessita di particolare attenzione ai fini del reinserimento lavorativo. Pertanto, il medico competente, per quei lavoratori che sono stati affetti da COVID-19 </w:t>
      </w:r>
      <w:r w:rsidRPr="00C90A77">
        <w:rPr>
          <w:b/>
          <w:bCs/>
          <w:sz w:val="23"/>
          <w:szCs w:val="23"/>
        </w:rPr>
        <w:t>per il quale è stato necessario un ricovero ospedaliero</w:t>
      </w:r>
      <w:r w:rsidRPr="00C90A77">
        <w:rPr>
          <w:sz w:val="23"/>
          <w:szCs w:val="23"/>
        </w:rPr>
        <w:t xml:space="preserve">, previa presentazione di certificazione di avvenuta negativizzazione secondo le modalità previste rilasciata dal Dipartimento di prevenzione territoriale di competenza, effettua la visita medica prevista dall’art.41, c. 2 </w:t>
      </w:r>
      <w:r w:rsidRPr="00C90A77">
        <w:rPr>
          <w:i/>
          <w:iCs/>
          <w:sz w:val="23"/>
          <w:szCs w:val="23"/>
        </w:rPr>
        <w:t xml:space="preserve">lett. e-ter </w:t>
      </w:r>
      <w:r w:rsidRPr="00C90A77">
        <w:rPr>
          <w:sz w:val="23"/>
          <w:szCs w:val="23"/>
        </w:rPr>
        <w:t xml:space="preserve">del D.lgs. 81/08 e s.m.i (quella precedente alla ripresa del lavoro a seguito di assenza per motivi di salute di durata superiore ai sessanta giorni continuativi), al fine di verificare l’idoneità alla mansione - anche per valutare profili specifici di rischiosità - </w:t>
      </w:r>
      <w:r w:rsidRPr="00C90A77">
        <w:rPr>
          <w:b/>
          <w:bCs/>
          <w:sz w:val="23"/>
          <w:szCs w:val="23"/>
        </w:rPr>
        <w:t>indipendentemente dalla durata dell’assenza per malattia.</w:t>
      </w:r>
    </w:p>
    <w:p w14:paraId="7DBE43FC" w14:textId="38D9AC36" w:rsidR="008A7D61" w:rsidRDefault="008A7D61" w:rsidP="008A7D61">
      <w:pPr>
        <w:rPr>
          <w:sz w:val="23"/>
          <w:szCs w:val="23"/>
        </w:rPr>
      </w:pPr>
      <w:r w:rsidRPr="00C90A77">
        <w:rPr>
          <w:sz w:val="23"/>
          <w:szCs w:val="23"/>
        </w:rPr>
        <w:t>Inoltre, si richiama l’attenzione che deve essere posta nell’evitare lo stigma e la discriminazione nei confronti dei lavoratori che hanno sofferto di COVID-19 e che rientrano nell’ambiente di lavoro.</w:t>
      </w:r>
    </w:p>
    <w:p w14:paraId="11B0576E" w14:textId="3516D933" w:rsidR="008A7D61" w:rsidRDefault="008A7D61" w:rsidP="008A7D61">
      <w:pPr>
        <w:rPr>
          <w:sz w:val="23"/>
          <w:szCs w:val="23"/>
        </w:rPr>
      </w:pPr>
    </w:p>
    <w:p w14:paraId="2A729F31" w14:textId="77777777" w:rsidR="008A7D61" w:rsidRDefault="008A7D61" w:rsidP="008A7D61">
      <w:pPr>
        <w:rPr>
          <w:sz w:val="23"/>
          <w:szCs w:val="23"/>
        </w:rPr>
      </w:pPr>
      <w:r>
        <w:rPr>
          <w:sz w:val="23"/>
          <w:szCs w:val="23"/>
        </w:rPr>
        <w:t xml:space="preserve">In conformità alle indicazioni Ministeriali sopra riportate l’azienda prevede di effettuare la visita medica anche a quei soggetti che, seppure in assenza di ricovero, abbiano manifestato sintomi gravi o medio gravi. Nel rispetto della normativa della Privacy sul trattamento personale dei dati sensibili, l’azienda informa i lavoratori in merito alle direttive aziendali e sulla possibilità di richiedere la visita medica straordinaria in modo diretto o tramite l’azienda. </w:t>
      </w:r>
    </w:p>
    <w:p w14:paraId="2484DDED" w14:textId="77777777" w:rsidR="00AD4E1E" w:rsidRDefault="008A7D61" w:rsidP="008A7D61">
      <w:pPr>
        <w:rPr>
          <w:sz w:val="23"/>
          <w:szCs w:val="23"/>
        </w:rPr>
      </w:pPr>
      <w:r>
        <w:rPr>
          <w:sz w:val="23"/>
          <w:szCs w:val="23"/>
        </w:rPr>
        <w:t xml:space="preserve">Il medico competente, effettuata la visita, </w:t>
      </w:r>
      <w:r w:rsidR="00C90A77">
        <w:rPr>
          <w:sz w:val="23"/>
          <w:szCs w:val="23"/>
        </w:rPr>
        <w:t>informerà</w:t>
      </w:r>
      <w:r>
        <w:rPr>
          <w:sz w:val="23"/>
          <w:szCs w:val="23"/>
        </w:rPr>
        <w:t xml:space="preserve"> l’azienda sulla necessità o meno di cambio mansione o limitazione </w:t>
      </w:r>
      <w:r w:rsidR="00C90A77">
        <w:rPr>
          <w:sz w:val="23"/>
          <w:szCs w:val="23"/>
        </w:rPr>
        <w:t>tem</w:t>
      </w:r>
      <w:r w:rsidR="00AD4E1E">
        <w:rPr>
          <w:sz w:val="23"/>
          <w:szCs w:val="23"/>
        </w:rPr>
        <w:t>poranea o quanto altro riterrà opportuno per la tutela del lavoratore.</w:t>
      </w:r>
    </w:p>
    <w:p w14:paraId="04FA675A" w14:textId="18429FBF" w:rsidR="008E1613" w:rsidRDefault="008E1613" w:rsidP="008E1613">
      <w:pPr>
        <w:rPr>
          <w:rFonts w:eastAsia="Times New Roman"/>
        </w:rPr>
      </w:pPr>
    </w:p>
    <w:p w14:paraId="4EF72346" w14:textId="172DE274" w:rsidR="00AD4E1E" w:rsidRDefault="00AD4E1E" w:rsidP="008E1613">
      <w:pPr>
        <w:rPr>
          <w:rFonts w:eastAsia="Times New Roman"/>
        </w:rPr>
      </w:pPr>
      <w:r>
        <w:rPr>
          <w:rFonts w:eastAsia="Times New Roman"/>
        </w:rPr>
        <w:t xml:space="preserve">Viste le direttive Ministeriali dell’interruzione della quarantena obbligatoria post COVID-19 anche in presenza di un tampone positivo, l’azienda informa i lavoratori che il rientro alle attività lavorative sarà consentito solo con certificato medico di completa guarigione ed esito di tampone negativo. </w:t>
      </w:r>
    </w:p>
    <w:p w14:paraId="24B9DFC4" w14:textId="78F8D086" w:rsidR="00AD4E1E" w:rsidRDefault="00AD4E1E" w:rsidP="008E1613">
      <w:pPr>
        <w:rPr>
          <w:rFonts w:eastAsia="Times New Roman"/>
        </w:rPr>
      </w:pPr>
      <w:r>
        <w:rPr>
          <w:rFonts w:eastAsia="Times New Roman"/>
        </w:rPr>
        <w:t>Sono esentati da tale disposizione i lavoratori che possono proseguire la loro attività lavorativa in smart working</w:t>
      </w:r>
    </w:p>
    <w:p w14:paraId="7C649FEF" w14:textId="3B588C62" w:rsidR="00F72BB6" w:rsidRDefault="00F72BB6" w:rsidP="008E1613">
      <w:pPr>
        <w:rPr>
          <w:rFonts w:eastAsia="Times New Roman"/>
        </w:rPr>
      </w:pPr>
    </w:p>
    <w:p w14:paraId="3D3CBDC8" w14:textId="77777777" w:rsidR="00F72BB6" w:rsidRDefault="00F72BB6" w:rsidP="008E1613">
      <w:pPr>
        <w:rPr>
          <w:rFonts w:eastAsia="Times New Roman"/>
        </w:rPr>
      </w:pPr>
    </w:p>
    <w:p w14:paraId="1848C41F" w14:textId="701BACF5" w:rsidR="00F72BB6" w:rsidRDefault="00F72BB6" w:rsidP="00F72BB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highlight w:val="yellow"/>
        </w:rPr>
        <w:t>3-</w:t>
      </w:r>
      <w:r w:rsidR="00A8309B">
        <w:rPr>
          <w:b/>
          <w:bCs/>
          <w:sz w:val="20"/>
          <w:szCs w:val="20"/>
        </w:rPr>
        <w:t>INCREMENTO DELLE MISURE DI PREVENZIONE E PROTEZIONE</w:t>
      </w:r>
    </w:p>
    <w:p w14:paraId="4455A5D6" w14:textId="77777777" w:rsidR="00F72BB6" w:rsidRDefault="00F72BB6" w:rsidP="008E1613">
      <w:pPr>
        <w:rPr>
          <w:rFonts w:eastAsia="Times New Roman"/>
        </w:rPr>
      </w:pPr>
    </w:p>
    <w:p w14:paraId="0222C160" w14:textId="77777777" w:rsidR="00F72BB6" w:rsidRDefault="00F72BB6" w:rsidP="00F72BB6">
      <w:r>
        <w:t xml:space="preserve">In considerazione della recrudescenza del virus SARS_COV2 e delle sue varianti, presenti sul territorio, l’aumento dell’indice RT a livello nazionale e territoriale, sono adottate le seguenti misure restrittive ad implementazione di quelle già in essere: </w:t>
      </w:r>
    </w:p>
    <w:p w14:paraId="0A6142E7" w14:textId="77777777" w:rsidR="00F72BB6" w:rsidRDefault="00F72BB6" w:rsidP="00F72BB6">
      <w:pPr>
        <w:rPr>
          <w:b/>
          <w:bCs/>
          <w:highlight w:val="yellow"/>
        </w:rPr>
      </w:pPr>
    </w:p>
    <w:p w14:paraId="50504A89" w14:textId="77777777" w:rsidR="00F72BB6" w:rsidRDefault="00F72BB6" w:rsidP="00F72BB6">
      <w:pPr>
        <w:rPr>
          <w:b/>
          <w:bCs/>
        </w:rPr>
      </w:pPr>
      <w:r w:rsidRPr="00F72BB6">
        <w:rPr>
          <w:b/>
          <w:bCs/>
        </w:rPr>
        <w:t>PROCEDURE PREVENTIVE</w:t>
      </w:r>
    </w:p>
    <w:p w14:paraId="03135E02" w14:textId="38EF60CC" w:rsidR="00EE4E23" w:rsidRDefault="00EE4E23" w:rsidP="00F72BB6">
      <w:pPr>
        <w:pStyle w:val="Paragrafoelenco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rendere obbligatorio il costante ricambio d’aria di ciascun locale</w:t>
      </w:r>
    </w:p>
    <w:p w14:paraId="33483BD8" w14:textId="4DEC7362" w:rsidR="00F72BB6" w:rsidRDefault="00F72BB6" w:rsidP="00F72BB6">
      <w:pPr>
        <w:pStyle w:val="Paragrafoelenco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adozione</w:t>
      </w:r>
      <w:r>
        <w:rPr>
          <w:rFonts w:eastAsia="Times New Roman"/>
          <w:b/>
          <w:bCs/>
        </w:rPr>
        <w:t xml:space="preserve"> smart working</w:t>
      </w:r>
      <w:r>
        <w:rPr>
          <w:rFonts w:eastAsia="Times New Roman"/>
        </w:rPr>
        <w:t xml:space="preserve"> o turnazione per tutti i lavoratori che possono usufruirne</w:t>
      </w:r>
    </w:p>
    <w:p w14:paraId="752CAAC0" w14:textId="2A92F4F3" w:rsidR="00F72BB6" w:rsidRDefault="00F72BB6" w:rsidP="00F72BB6">
      <w:pPr>
        <w:pStyle w:val="Paragrafoelenco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lastRenderedPageBreak/>
        <w:t>maggiorazione del distanziamento fisico e riorganizzazione degli spazi se possibile ( più stanze, più aree di lavoro , maggiore distanza tra i presenti , favorire la didattica all’aperto, rimodulazione degli orari di ingresso, uscite e pause etc.)</w:t>
      </w:r>
    </w:p>
    <w:p w14:paraId="4D9F8D6C" w14:textId="0CB2D15C" w:rsidR="00F72BB6" w:rsidRDefault="00F72BB6" w:rsidP="00F72BB6">
      <w:pPr>
        <w:pStyle w:val="Paragrafoelenco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uso costante dei DPI protettivi, almeno la mascherina chirurgica, con aggiunta di mascherine FFP2 o visiere ove ritenute indispensabili</w:t>
      </w:r>
    </w:p>
    <w:p w14:paraId="7D0143DE" w14:textId="1CD1F1E3" w:rsidR="00F72BB6" w:rsidRDefault="00F72BB6" w:rsidP="00F72BB6">
      <w:pPr>
        <w:pStyle w:val="Paragrafoelenco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implementazione dei presidi per la igienizzazione in autonomia delle proprie postazioni di lavoro e spazi ed oggetti di uso comune, delle aule</w:t>
      </w:r>
      <w:r w:rsidR="00EE4E23">
        <w:rPr>
          <w:rFonts w:eastAsia="Times New Roman"/>
        </w:rPr>
        <w:t xml:space="preserve"> e dei servizi</w:t>
      </w:r>
    </w:p>
    <w:p w14:paraId="3D39550D" w14:textId="2E3A39DE" w:rsidR="00EE4E23" w:rsidRDefault="00EE4E23" w:rsidP="00F72BB6">
      <w:pPr>
        <w:pStyle w:val="Paragrafoelenco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Sensibilizzazione del personale e degli allievi all’utilizzo assiduo di tali presidi</w:t>
      </w:r>
    </w:p>
    <w:p w14:paraId="3495A179" w14:textId="77777777" w:rsidR="00F72BB6" w:rsidRDefault="00F72BB6" w:rsidP="00F72BB6">
      <w:pPr>
        <w:pStyle w:val="Paragrafoelenco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organizzazione a distanza di tutte le riunioni con personale interno ed esterno</w:t>
      </w:r>
    </w:p>
    <w:p w14:paraId="6B606251" w14:textId="1A31A0D6" w:rsidR="00F72BB6" w:rsidRDefault="00F72BB6" w:rsidP="00F72BB6">
      <w:pPr>
        <w:pStyle w:val="Paragrafoelenco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divieto di ingresso negli ambienti </w:t>
      </w:r>
      <w:r w:rsidR="00EE4E23">
        <w:rPr>
          <w:rFonts w:eastAsia="Times New Roman"/>
        </w:rPr>
        <w:t>scolastici</w:t>
      </w:r>
      <w:r>
        <w:rPr>
          <w:rFonts w:eastAsia="Times New Roman"/>
        </w:rPr>
        <w:t xml:space="preserve"> </w:t>
      </w:r>
      <w:r w:rsidR="00094ED1">
        <w:rPr>
          <w:rFonts w:eastAsia="Times New Roman"/>
        </w:rPr>
        <w:t xml:space="preserve">da parte di terzi </w:t>
      </w:r>
      <w:r>
        <w:rPr>
          <w:rFonts w:eastAsia="Times New Roman"/>
        </w:rPr>
        <w:t xml:space="preserve">se non strettamente necessario </w:t>
      </w:r>
    </w:p>
    <w:p w14:paraId="6BA8A294" w14:textId="101D1CB8" w:rsidR="00F72BB6" w:rsidRDefault="00F72BB6" w:rsidP="00F72BB6">
      <w:pPr>
        <w:pStyle w:val="Paragrafoelenco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divulgazione a tutti i lavoratori</w:t>
      </w:r>
      <w:r w:rsidR="00EC4FF5">
        <w:rPr>
          <w:rFonts w:eastAsia="Times New Roman"/>
        </w:rPr>
        <w:t xml:space="preserve">, agli allievi e alle famiglie </w:t>
      </w:r>
      <w:r>
        <w:rPr>
          <w:rFonts w:eastAsia="Times New Roman"/>
        </w:rPr>
        <w:t>delle nuove misure restrittive tramite mezzi di comunicazione quali e-mail, social</w:t>
      </w:r>
      <w:r w:rsidR="00EE4E23">
        <w:rPr>
          <w:rFonts w:eastAsia="Times New Roman"/>
        </w:rPr>
        <w:t>, sito, bacheche</w:t>
      </w:r>
    </w:p>
    <w:p w14:paraId="3F71E9FF" w14:textId="399D9FE5" w:rsidR="00F72BB6" w:rsidRDefault="00F72BB6" w:rsidP="00F72BB6">
      <w:pPr>
        <w:pStyle w:val="Paragrafoelenco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sensibilizzazione sulla necessità di auto - isolarsi in autonomia, quando si ha il sospetto di essere stati a contatto diretto con un positivo covid anche se non si è stati contattati dalla ASUR, informando </w:t>
      </w:r>
      <w:r w:rsidR="00EE4E23">
        <w:rPr>
          <w:rFonts w:eastAsia="Times New Roman"/>
        </w:rPr>
        <w:t xml:space="preserve">la scuola </w:t>
      </w:r>
      <w:r>
        <w:rPr>
          <w:rFonts w:eastAsia="Times New Roman"/>
        </w:rPr>
        <w:t>in modo tempestivo</w:t>
      </w:r>
    </w:p>
    <w:p w14:paraId="6F0BDD52" w14:textId="1B9E87C4" w:rsidR="00EE4E23" w:rsidRDefault="00EE4E23" w:rsidP="00F72BB6">
      <w:pPr>
        <w:pStyle w:val="Paragrafoelenco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informare la scuola anche se un proprio convivente ha sintomi riconducibili a covid, </w:t>
      </w:r>
      <w:r w:rsidR="008D01BE">
        <w:rPr>
          <w:rFonts w:eastAsia="Times New Roman"/>
        </w:rPr>
        <w:t>seppur</w:t>
      </w:r>
      <w:r>
        <w:rPr>
          <w:rFonts w:eastAsia="Times New Roman"/>
        </w:rPr>
        <w:t xml:space="preserve"> non ancora confermato, attuare l’isolamento preventivo in attesa di accertamenti</w:t>
      </w:r>
    </w:p>
    <w:p w14:paraId="4C709CF9" w14:textId="230A3D36" w:rsidR="00EE4E23" w:rsidRDefault="00EE4E23" w:rsidP="00F72BB6">
      <w:pPr>
        <w:pStyle w:val="Paragrafoelenco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richiedere questa forma di responsabilità anche a tutte le famiglie chiedendo di non mandare i figli a scuola qualora un convivente dell’allievo abbia sintomi riconducibili a covid, informare tempestivamente la scuola</w:t>
      </w:r>
    </w:p>
    <w:p w14:paraId="102ABA93" w14:textId="1138DFC0" w:rsidR="00F72BB6" w:rsidRDefault="00F72BB6" w:rsidP="00F72BB6">
      <w:pPr>
        <w:pStyle w:val="Paragrafoelenco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incremento delle sanificazioni </w:t>
      </w:r>
      <w:r w:rsidR="00EE4E23">
        <w:rPr>
          <w:rFonts w:eastAsia="Times New Roman"/>
        </w:rPr>
        <w:t>in proprio o con ditte esterne specializzate</w:t>
      </w:r>
    </w:p>
    <w:p w14:paraId="4F0E6F7B" w14:textId="5E497D38" w:rsidR="00F72BB6" w:rsidRDefault="00F72BB6" w:rsidP="008E1613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781764BD" w14:textId="3AB65C5D" w:rsidR="008E1613" w:rsidRDefault="008E1613" w:rsidP="008E1613">
      <w:pPr>
        <w:rPr>
          <w:rFonts w:eastAsia="Times New Roman"/>
        </w:rPr>
      </w:pPr>
    </w:p>
    <w:p w14:paraId="52827BB4" w14:textId="77777777" w:rsidR="00F72BB6" w:rsidRDefault="00F72BB6" w:rsidP="00F72BB6">
      <w:pPr>
        <w:rPr>
          <w:rFonts w:eastAsia="Times New Roman"/>
        </w:rPr>
      </w:pPr>
      <w:r>
        <w:rPr>
          <w:rFonts w:eastAsia="Times New Roman"/>
        </w:rPr>
        <w:t>Sono fatte salve eccezioni attuabili per le pubbliche amministrazioni o le scuole nello specifico.</w:t>
      </w:r>
    </w:p>
    <w:p w14:paraId="010238C6" w14:textId="4D48C75D" w:rsidR="00F72BB6" w:rsidRDefault="00F72BB6" w:rsidP="008E1613">
      <w:pPr>
        <w:rPr>
          <w:rFonts w:eastAsia="Times New Roman"/>
        </w:rPr>
      </w:pPr>
    </w:p>
    <w:p w14:paraId="7C1526E8" w14:textId="77777777" w:rsidR="00F72BB6" w:rsidRDefault="00F72BB6" w:rsidP="008E1613">
      <w:pPr>
        <w:rPr>
          <w:rFonts w:eastAsia="Times New Roman"/>
        </w:rPr>
      </w:pPr>
    </w:p>
    <w:p w14:paraId="161F3C82" w14:textId="0EAE9071" w:rsidR="00EE4E23" w:rsidRDefault="008E1613">
      <w:r>
        <w:rPr>
          <w:rFonts w:eastAsia="Times New Roman"/>
        </w:rPr>
        <w:t>Luogo</w:t>
      </w:r>
      <w:r>
        <w:rPr>
          <w:rFonts w:eastAsia="Times New Roman"/>
        </w:rPr>
        <w:tab/>
      </w:r>
      <w:r w:rsidR="00EE4E23">
        <w:t>________________, 31/03/2021</w:t>
      </w:r>
    </w:p>
    <w:p w14:paraId="5C9CFE36" w14:textId="59E7F646" w:rsidR="00144254" w:rsidRDefault="00144254"/>
    <w:p w14:paraId="32DFB040" w14:textId="4A795267" w:rsidR="00EE4E23" w:rsidRDefault="00EE4E23"/>
    <w:p w14:paraId="2B5B1A60" w14:textId="610FB05C" w:rsidR="00EE4E23" w:rsidRDefault="00EE4E23"/>
    <w:p w14:paraId="31EDB14F" w14:textId="77777777" w:rsidR="00EE4E23" w:rsidRDefault="00EE4E2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00"/>
        <w:gridCol w:w="2233"/>
        <w:gridCol w:w="2372"/>
        <w:gridCol w:w="2823"/>
      </w:tblGrid>
      <w:tr w:rsidR="00EE4E23" w14:paraId="35F9CC01" w14:textId="77777777" w:rsidTr="00420278">
        <w:tc>
          <w:tcPr>
            <w:tcW w:w="2235" w:type="dxa"/>
          </w:tcPr>
          <w:p w14:paraId="33074440" w14:textId="77777777" w:rsidR="00EE4E23" w:rsidRDefault="00EE4E23" w:rsidP="00420278">
            <w:pPr>
              <w:pStyle w:val="Nessunaspaziatur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 D.S. </w:t>
            </w:r>
          </w:p>
        </w:tc>
        <w:tc>
          <w:tcPr>
            <w:tcW w:w="2268" w:type="dxa"/>
          </w:tcPr>
          <w:p w14:paraId="38D22A8F" w14:textId="77777777" w:rsidR="00EE4E23" w:rsidRDefault="00EE4E23" w:rsidP="00420278">
            <w:pPr>
              <w:pStyle w:val="Nessunaspaziatur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 M.C. </w:t>
            </w:r>
          </w:p>
        </w:tc>
        <w:tc>
          <w:tcPr>
            <w:tcW w:w="2409" w:type="dxa"/>
          </w:tcPr>
          <w:p w14:paraId="71B78B95" w14:textId="77777777" w:rsidR="00EE4E23" w:rsidRDefault="00EE4E23" w:rsidP="00420278">
            <w:pPr>
              <w:pStyle w:val="Nessunaspaziatur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L’RLS</w:t>
            </w:r>
          </w:p>
        </w:tc>
        <w:tc>
          <w:tcPr>
            <w:tcW w:w="2866" w:type="dxa"/>
          </w:tcPr>
          <w:p w14:paraId="2972D8F4" w14:textId="77777777" w:rsidR="00EE4E23" w:rsidRDefault="00EE4E23" w:rsidP="00420278">
            <w:pPr>
              <w:pStyle w:val="Nessunaspaziatur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6AD3E7EB" wp14:editId="5E751190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110490</wp:posOffset>
                  </wp:positionV>
                  <wp:extent cx="1856105" cy="863600"/>
                  <wp:effectExtent l="57150" t="133350" r="48895" b="10795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67580">
                            <a:off x="0" y="0"/>
                            <a:ext cx="1856105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L’RSPP</w:t>
            </w:r>
          </w:p>
        </w:tc>
      </w:tr>
      <w:tr w:rsidR="00EE4E23" w14:paraId="2AC88CF2" w14:textId="77777777" w:rsidTr="00420278">
        <w:trPr>
          <w:trHeight w:val="939"/>
        </w:trPr>
        <w:tc>
          <w:tcPr>
            <w:tcW w:w="2235" w:type="dxa"/>
          </w:tcPr>
          <w:p w14:paraId="4B140127" w14:textId="77777777" w:rsidR="00EE4E23" w:rsidRDefault="00EE4E23" w:rsidP="00420278">
            <w:pPr>
              <w:pStyle w:val="Nessunaspaziatura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7D173F" w14:textId="77777777" w:rsidR="00EE4E23" w:rsidRDefault="00EE4E23" w:rsidP="00420278">
            <w:pPr>
              <w:pStyle w:val="Nessunaspaziatura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EF1C32D" w14:textId="77777777" w:rsidR="00EE4E23" w:rsidRDefault="00EE4E23" w:rsidP="00420278">
            <w:pPr>
              <w:pStyle w:val="Nessunaspaziatura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14:paraId="0BD94F6C" w14:textId="77777777" w:rsidR="00EE4E23" w:rsidRDefault="00EE4E23" w:rsidP="00420278">
            <w:pPr>
              <w:pStyle w:val="Nessunaspaziatura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A17EAE1" w14:textId="77777777" w:rsidR="00144254" w:rsidRDefault="00144254">
      <w:pPr>
        <w:sectPr w:rsidR="00144254" w:rsidSect="008E1613">
          <w:headerReference w:type="default" r:id="rId9"/>
          <w:footerReference w:type="default" r:id="rId10"/>
          <w:pgSz w:w="11906" w:h="16838"/>
          <w:pgMar w:top="1417" w:right="1134" w:bottom="1134" w:left="1134" w:header="708" w:footer="281" w:gutter="0"/>
          <w:cols w:space="708"/>
          <w:docGrid w:linePitch="360"/>
        </w:sectPr>
      </w:pPr>
    </w:p>
    <w:p w14:paraId="3ED3D494" w14:textId="57BCBADC" w:rsidR="00A86E2F" w:rsidRDefault="00C371A0" w:rsidP="00A86E2F">
      <w:pPr>
        <w:rPr>
          <w:rFonts w:eastAsia="Times New Roman"/>
        </w:rPr>
      </w:pPr>
      <w:r>
        <w:lastRenderedPageBreak/>
        <w:br w:type="textWrapping" w:clear="all"/>
      </w:r>
      <w:r w:rsidR="00A86E2F">
        <w:rPr>
          <w:rFonts w:eastAsia="Times New Roman"/>
        </w:rPr>
        <w:t>L’azienda, per la corretta gestione farà riferimento anche al flow chart sotto riportato</w:t>
      </w:r>
    </w:p>
    <w:p w14:paraId="332E9CCA" w14:textId="7E5969C0" w:rsidR="00144254" w:rsidRDefault="00A86E2F">
      <w:r>
        <w:rPr>
          <w:noProof/>
        </w:rPr>
        <w:drawing>
          <wp:anchor distT="0" distB="0" distL="114300" distR="114300" simplePos="0" relativeHeight="251658240" behindDoc="0" locked="0" layoutInCell="1" allowOverlap="1" wp14:anchorId="15A36A94" wp14:editId="473AF72A">
            <wp:simplePos x="0" y="0"/>
            <wp:positionH relativeFrom="margin">
              <wp:align>center</wp:align>
            </wp:positionH>
            <wp:positionV relativeFrom="paragraph">
              <wp:posOffset>116205</wp:posOffset>
            </wp:positionV>
            <wp:extent cx="7449820" cy="5271135"/>
            <wp:effectExtent l="0" t="0" r="0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4" t="10154" r="18355" b="8313"/>
                    <a:stretch/>
                  </pic:blipFill>
                  <pic:spPr bwMode="auto">
                    <a:xfrm>
                      <a:off x="0" y="0"/>
                      <a:ext cx="7449820" cy="5271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4254" w:rsidSect="00144254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AA149" w14:textId="77777777" w:rsidR="00264616" w:rsidRDefault="00264616" w:rsidP="00144254">
      <w:r>
        <w:separator/>
      </w:r>
    </w:p>
  </w:endnote>
  <w:endnote w:type="continuationSeparator" w:id="0">
    <w:p w14:paraId="562BEBBA" w14:textId="77777777" w:rsidR="00264616" w:rsidRDefault="00264616" w:rsidP="0014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54515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B634E5" w14:textId="1D78C96D" w:rsidR="008E1613" w:rsidRDefault="008E1613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DE9D56" w14:textId="77777777" w:rsidR="008E1613" w:rsidRDefault="008E16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FB308" w14:textId="77777777" w:rsidR="00264616" w:rsidRDefault="00264616" w:rsidP="00144254">
      <w:r>
        <w:separator/>
      </w:r>
    </w:p>
  </w:footnote>
  <w:footnote w:type="continuationSeparator" w:id="0">
    <w:p w14:paraId="21A74AD1" w14:textId="77777777" w:rsidR="00264616" w:rsidRDefault="00264616" w:rsidP="00144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01"/>
      <w:gridCol w:w="5260"/>
      <w:gridCol w:w="2267"/>
    </w:tblGrid>
    <w:tr w:rsidR="00144254" w14:paraId="1B746DDA" w14:textId="77777777" w:rsidTr="00F72BB6">
      <w:trPr>
        <w:trHeight w:val="970"/>
        <w:jc w:val="center"/>
      </w:trPr>
      <w:tc>
        <w:tcPr>
          <w:tcW w:w="21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6A2970" w14:textId="0B912053" w:rsidR="00144254" w:rsidRDefault="00F72BB6" w:rsidP="00144254">
          <w:pPr>
            <w:pStyle w:val="Intestazione"/>
            <w:spacing w:line="276" w:lineRule="auto"/>
            <w:jc w:val="center"/>
            <w:rPr>
              <w:rFonts w:asciiTheme="minorHAnsi" w:hAnsiTheme="minorHAnsi" w:cs="Tahoma"/>
            </w:rPr>
          </w:pPr>
          <w:r>
            <w:rPr>
              <w:rFonts w:cs="Tahoma"/>
            </w:rPr>
            <w:t>Scuola:</w:t>
          </w:r>
        </w:p>
      </w:tc>
      <w:tc>
        <w:tcPr>
          <w:tcW w:w="5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C4813B" w14:textId="055E271D" w:rsidR="00144254" w:rsidRDefault="00973CD2" w:rsidP="00144254">
          <w:pPr>
            <w:pStyle w:val="Intestazione"/>
            <w:spacing w:line="276" w:lineRule="auto"/>
            <w:jc w:val="center"/>
            <w:rPr>
              <w:rFonts w:cs="Tahoma"/>
              <w:sz w:val="28"/>
              <w:szCs w:val="28"/>
            </w:rPr>
          </w:pPr>
          <w:r>
            <w:rPr>
              <w:rFonts w:cs="Tahoma"/>
              <w:sz w:val="28"/>
              <w:szCs w:val="28"/>
            </w:rPr>
            <w:t>Integrazione_r</w:t>
          </w:r>
          <w:r w:rsidR="00144254">
            <w:rPr>
              <w:rFonts w:cs="Tahoma"/>
              <w:sz w:val="28"/>
              <w:szCs w:val="28"/>
            </w:rPr>
            <w:t xml:space="preserve">elazione Valutazione </w:t>
          </w:r>
        </w:p>
        <w:p w14:paraId="199EA295" w14:textId="77777777" w:rsidR="00144254" w:rsidRDefault="00144254" w:rsidP="00144254">
          <w:pPr>
            <w:pStyle w:val="Intestazione"/>
            <w:spacing w:line="276" w:lineRule="auto"/>
            <w:jc w:val="center"/>
            <w:rPr>
              <w:rFonts w:cs="Tahoma"/>
              <w:sz w:val="28"/>
              <w:szCs w:val="28"/>
            </w:rPr>
          </w:pPr>
          <w:r>
            <w:rPr>
              <w:rFonts w:cs="Tahoma"/>
              <w:sz w:val="28"/>
              <w:szCs w:val="28"/>
            </w:rPr>
            <w:t>del Rischio Biologico – Covid -19</w:t>
          </w:r>
        </w:p>
      </w:tc>
      <w:tc>
        <w:tcPr>
          <w:tcW w:w="22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CFE233" w14:textId="16AEE270" w:rsidR="00144254" w:rsidRDefault="00F72BB6" w:rsidP="00144254">
          <w:pPr>
            <w:pStyle w:val="Intestazione"/>
            <w:spacing w:line="276" w:lineRule="auto"/>
            <w:jc w:val="center"/>
            <w:rPr>
              <w:rFonts w:cs="Tahoma"/>
            </w:rPr>
          </w:pPr>
          <w:r>
            <w:rPr>
              <w:rFonts w:cs="Tahoma"/>
            </w:rPr>
            <w:t>Int. 01</w:t>
          </w:r>
        </w:p>
        <w:p w14:paraId="4325C7F2" w14:textId="7A42041E" w:rsidR="00144254" w:rsidRDefault="00144254" w:rsidP="00144254">
          <w:pPr>
            <w:pStyle w:val="Intestazione"/>
            <w:spacing w:line="276" w:lineRule="auto"/>
            <w:jc w:val="center"/>
            <w:rPr>
              <w:rFonts w:cs="Tahoma"/>
            </w:rPr>
          </w:pPr>
          <w:r>
            <w:rPr>
              <w:rFonts w:cs="Tahoma"/>
            </w:rPr>
            <w:t xml:space="preserve">del </w:t>
          </w:r>
          <w:r w:rsidR="00F72BB6">
            <w:rPr>
              <w:rFonts w:cs="Tahoma"/>
            </w:rPr>
            <w:t>31/03/2021</w:t>
          </w:r>
        </w:p>
      </w:tc>
    </w:tr>
  </w:tbl>
  <w:p w14:paraId="60DFB326" w14:textId="77777777" w:rsidR="00144254" w:rsidRDefault="001442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963C5"/>
    <w:multiLevelType w:val="hybridMultilevel"/>
    <w:tmpl w:val="7D8CCB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E89"/>
    <w:multiLevelType w:val="hybridMultilevel"/>
    <w:tmpl w:val="DCFC3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F62FD"/>
    <w:multiLevelType w:val="hybridMultilevel"/>
    <w:tmpl w:val="BA3AD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A2ED1"/>
    <w:multiLevelType w:val="hybridMultilevel"/>
    <w:tmpl w:val="8E84F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54"/>
    <w:rsid w:val="00094ED1"/>
    <w:rsid w:val="0010010D"/>
    <w:rsid w:val="00144254"/>
    <w:rsid w:val="00264616"/>
    <w:rsid w:val="002B44FC"/>
    <w:rsid w:val="00735B68"/>
    <w:rsid w:val="00775FA8"/>
    <w:rsid w:val="00870D05"/>
    <w:rsid w:val="008A7D61"/>
    <w:rsid w:val="008D01BE"/>
    <w:rsid w:val="008E1613"/>
    <w:rsid w:val="008F23BD"/>
    <w:rsid w:val="00973CD2"/>
    <w:rsid w:val="009F0686"/>
    <w:rsid w:val="00A8309B"/>
    <w:rsid w:val="00A86E2F"/>
    <w:rsid w:val="00AD4E1E"/>
    <w:rsid w:val="00C371A0"/>
    <w:rsid w:val="00C90A77"/>
    <w:rsid w:val="00EC4FF5"/>
    <w:rsid w:val="00EE4E23"/>
    <w:rsid w:val="00F72BB6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00679"/>
  <w15:chartTrackingRefBased/>
  <w15:docId w15:val="{9F33AAA4-1E52-4BA6-B3C3-9B9708E9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2BB6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4425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144254"/>
    <w:pPr>
      <w:ind w:left="720"/>
    </w:pPr>
  </w:style>
  <w:style w:type="paragraph" w:styleId="Intestazione">
    <w:name w:val="header"/>
    <w:basedOn w:val="Normale"/>
    <w:link w:val="IntestazioneCarattere"/>
    <w:unhideWhenUsed/>
    <w:rsid w:val="001442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4425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442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254"/>
    <w:rPr>
      <w:rFonts w:ascii="Calibri" w:hAnsi="Calibri" w:cs="Calibri"/>
    </w:rPr>
  </w:style>
  <w:style w:type="paragraph" w:styleId="Nessunaspaziatura">
    <w:name w:val="No Spacing"/>
    <w:uiPriority w:val="1"/>
    <w:qFormat/>
    <w:rsid w:val="00EE4E23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EE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9F06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accinarsinellemarche.org/info-utili/ambulatori-vaccinal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moriconi</dc:creator>
  <cp:keywords/>
  <dc:description/>
  <cp:lastModifiedBy>maricacarosi@gmail.com</cp:lastModifiedBy>
  <cp:revision>17</cp:revision>
  <dcterms:created xsi:type="dcterms:W3CDTF">2020-11-19T11:42:00Z</dcterms:created>
  <dcterms:modified xsi:type="dcterms:W3CDTF">2021-04-02T20:14:00Z</dcterms:modified>
</cp:coreProperties>
</file>